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AB" w:rsidRPr="000666A9" w:rsidRDefault="00CE35AB" w:rsidP="000666A9">
      <w:pPr>
        <w:spacing w:before="0" w:after="0"/>
        <w:jc w:val="center"/>
        <w:rPr>
          <w:rFonts w:ascii="Times New Roman" w:hAnsi="Times New Roman" w:cs="Times New Roman"/>
          <w:b/>
          <w:sz w:val="24"/>
          <w:szCs w:val="24"/>
        </w:rPr>
      </w:pPr>
    </w:p>
    <w:p w:rsidR="00B848A1" w:rsidRPr="000666A9" w:rsidRDefault="00B848A1" w:rsidP="000666A9">
      <w:pPr>
        <w:spacing w:before="0" w:after="0"/>
        <w:jc w:val="right"/>
        <w:rPr>
          <w:rFonts w:ascii="Times New Roman" w:hAnsi="Times New Roman" w:cs="Times New Roman"/>
          <w:sz w:val="18"/>
          <w:szCs w:val="18"/>
        </w:rPr>
      </w:pPr>
      <w:r w:rsidRPr="000666A9">
        <w:rPr>
          <w:rFonts w:ascii="Times New Roman" w:hAnsi="Times New Roman" w:cs="Times New Roman"/>
          <w:sz w:val="18"/>
          <w:szCs w:val="18"/>
        </w:rPr>
        <w:t xml:space="preserve">Załącznik nr 1 do Uchwały nr  </w:t>
      </w:r>
      <w:r w:rsidR="00804433">
        <w:rPr>
          <w:rFonts w:ascii="Times New Roman" w:hAnsi="Times New Roman" w:cs="Times New Roman"/>
          <w:sz w:val="18"/>
          <w:szCs w:val="18"/>
        </w:rPr>
        <w:t>4</w:t>
      </w:r>
      <w:bookmarkStart w:id="0" w:name="_GoBack"/>
      <w:bookmarkEnd w:id="0"/>
      <w:r w:rsidR="003766CF">
        <w:rPr>
          <w:rFonts w:ascii="Times New Roman" w:hAnsi="Times New Roman" w:cs="Times New Roman"/>
          <w:sz w:val="18"/>
          <w:szCs w:val="18"/>
        </w:rPr>
        <w:t>/VI/2019</w:t>
      </w:r>
      <w:r w:rsidRPr="000666A9">
        <w:rPr>
          <w:rFonts w:ascii="Times New Roman" w:hAnsi="Times New Roman" w:cs="Times New Roman"/>
          <w:sz w:val="18"/>
          <w:szCs w:val="18"/>
        </w:rPr>
        <w:t xml:space="preserve"> z dnia 29 października 2019 r. </w:t>
      </w:r>
    </w:p>
    <w:p w:rsidR="00CE35AB" w:rsidRPr="000666A9" w:rsidRDefault="00B848A1" w:rsidP="000666A9">
      <w:pPr>
        <w:spacing w:before="0" w:after="0"/>
        <w:jc w:val="right"/>
        <w:rPr>
          <w:rFonts w:ascii="Times New Roman" w:hAnsi="Times New Roman" w:cs="Times New Roman"/>
          <w:sz w:val="18"/>
          <w:szCs w:val="18"/>
        </w:rPr>
      </w:pPr>
      <w:r w:rsidRPr="000666A9">
        <w:rPr>
          <w:rFonts w:ascii="Times New Roman" w:hAnsi="Times New Roman" w:cs="Times New Roman"/>
          <w:sz w:val="18"/>
          <w:szCs w:val="18"/>
        </w:rPr>
        <w:t>Zarządu Stowarzyszenia Lokalna Grupa Działania „Podgrodzie Toruńskie”</w:t>
      </w:r>
    </w:p>
    <w:p w:rsidR="00CE35AB" w:rsidRPr="000666A9" w:rsidRDefault="00CE35AB" w:rsidP="000666A9">
      <w:pPr>
        <w:spacing w:before="0" w:after="0"/>
        <w:jc w:val="right"/>
        <w:rPr>
          <w:rFonts w:ascii="Times New Roman" w:hAnsi="Times New Roman" w:cs="Times New Roman"/>
          <w:sz w:val="24"/>
          <w:szCs w:val="24"/>
        </w:rPr>
      </w:pPr>
    </w:p>
    <w:p w:rsidR="00CE35AB" w:rsidRPr="000666A9" w:rsidRDefault="00B848A1" w:rsidP="000666A9">
      <w:pPr>
        <w:spacing w:before="0" w:after="0"/>
        <w:rPr>
          <w:rFonts w:ascii="Times New Roman" w:hAnsi="Times New Roman" w:cs="Times New Roman"/>
          <w:b/>
          <w:sz w:val="24"/>
          <w:szCs w:val="24"/>
        </w:rPr>
      </w:pPr>
      <w:r w:rsidRPr="000666A9">
        <w:rPr>
          <w:rFonts w:ascii="Times New Roman" w:hAnsi="Times New Roman" w:cs="Times New Roman"/>
          <w:b/>
          <w:sz w:val="24"/>
          <w:szCs w:val="24"/>
        </w:rPr>
        <w:t>Procedura wdrażania grantów</w:t>
      </w:r>
      <w:r w:rsidRPr="000666A9">
        <w:rPr>
          <w:rFonts w:ascii="Times New Roman" w:hAnsi="Times New Roman" w:cs="Times New Roman"/>
          <w:sz w:val="24"/>
          <w:szCs w:val="24"/>
        </w:rPr>
        <w:t xml:space="preserve"> </w:t>
      </w:r>
      <w:r w:rsidR="007E6825">
        <w:rPr>
          <w:rFonts w:ascii="Times New Roman" w:hAnsi="Times New Roman" w:cs="Times New Roman"/>
          <w:sz w:val="24"/>
          <w:szCs w:val="24"/>
        </w:rPr>
        <w:t xml:space="preserve">(P8) </w:t>
      </w:r>
      <w:r w:rsidRPr="000666A9">
        <w:rPr>
          <w:rFonts w:ascii="Times New Roman" w:hAnsi="Times New Roman" w:cs="Times New Roman"/>
          <w:sz w:val="24"/>
          <w:szCs w:val="24"/>
        </w:rPr>
        <w:t>zawiera opis procesów następujących po zawiadomieniu grantobiorców o wyborze.</w:t>
      </w:r>
    </w:p>
    <w:p w:rsidR="00CE35AB" w:rsidRPr="000666A9" w:rsidRDefault="00CE35AB" w:rsidP="000666A9">
      <w:pPr>
        <w:spacing w:before="0" w:after="0"/>
        <w:rPr>
          <w:rFonts w:ascii="Times New Roman" w:hAnsi="Times New Roman" w:cs="Times New Roman"/>
          <w:b/>
          <w:sz w:val="24"/>
          <w:szCs w:val="24"/>
        </w:rPr>
      </w:pPr>
    </w:p>
    <w:p w:rsidR="006065A5" w:rsidRPr="00610658" w:rsidRDefault="006065A5" w:rsidP="00610658">
      <w:pPr>
        <w:pStyle w:val="Akapitzlist"/>
        <w:numPr>
          <w:ilvl w:val="0"/>
          <w:numId w:val="35"/>
        </w:numPr>
        <w:spacing w:before="0" w:after="0"/>
        <w:jc w:val="center"/>
        <w:rPr>
          <w:rFonts w:ascii="Times New Roman" w:hAnsi="Times New Roman" w:cs="Times New Roman"/>
          <w:b/>
          <w:sz w:val="24"/>
          <w:szCs w:val="24"/>
        </w:rPr>
      </w:pPr>
      <w:r w:rsidRPr="000666A9">
        <w:rPr>
          <w:rFonts w:ascii="Times New Roman" w:hAnsi="Times New Roman" w:cs="Times New Roman"/>
          <w:b/>
          <w:sz w:val="24"/>
          <w:szCs w:val="24"/>
        </w:rPr>
        <w:t>Proces podpisania umowy o powierzenie grantu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1. Umowa o powierzenie grantu, zwana dalej „umową” zawierana jest pomiędzy LGD a Grantobiorcami, których wnioski o powierzenie grantu zostały wybrane i mieszczą się</w:t>
      </w:r>
      <w:r w:rsidRPr="000666A9">
        <w:rPr>
          <w:rFonts w:cs="Times New Roman"/>
        </w:rPr>
        <w:br/>
        <w:t>w limicie środków dostępnych w naborze.</w:t>
      </w:r>
    </w:p>
    <w:p w:rsidR="006065A5" w:rsidRPr="000666A9" w:rsidRDefault="000666A9" w:rsidP="000666A9">
      <w:pPr>
        <w:pStyle w:val="Standard"/>
        <w:spacing w:line="360" w:lineRule="auto"/>
        <w:jc w:val="both"/>
        <w:rPr>
          <w:rFonts w:cs="Times New Roman"/>
        </w:rPr>
      </w:pPr>
      <w:r w:rsidRPr="000666A9">
        <w:rPr>
          <w:rFonts w:cs="Times New Roman"/>
        </w:rPr>
        <w:t>2</w:t>
      </w:r>
      <w:r w:rsidR="006065A5" w:rsidRPr="000666A9">
        <w:rPr>
          <w:rFonts w:cs="Times New Roman"/>
        </w:rPr>
        <w:t>. Umowa zawierana jest w Biurze LGD.</w:t>
      </w:r>
    </w:p>
    <w:p w:rsidR="002761C3" w:rsidRPr="000666A9" w:rsidRDefault="000666A9" w:rsidP="000666A9">
      <w:pPr>
        <w:pStyle w:val="Standard"/>
        <w:spacing w:line="360" w:lineRule="auto"/>
        <w:ind w:left="284" w:hanging="284"/>
        <w:jc w:val="both"/>
        <w:rPr>
          <w:rFonts w:cs="Times New Roman"/>
        </w:rPr>
      </w:pPr>
      <w:r w:rsidRPr="000666A9">
        <w:rPr>
          <w:rFonts w:cs="Times New Roman"/>
        </w:rPr>
        <w:t>3</w:t>
      </w:r>
      <w:r w:rsidR="006065A5" w:rsidRPr="000666A9">
        <w:rPr>
          <w:rFonts w:cs="Times New Roman"/>
        </w:rPr>
        <w:t xml:space="preserve">. Biuro LGD wyznacza termin i zaprasza grantobiorców do swojego Biura na podpisanie umowy. </w:t>
      </w:r>
      <w:r w:rsidR="006B1197" w:rsidRPr="000666A9">
        <w:rPr>
          <w:rFonts w:cs="Times New Roman"/>
        </w:rPr>
        <w:t>Zaproszenie dostarcza się skutecznie drogą elektroniczną wraz z projektem umowy</w:t>
      </w:r>
      <w:r w:rsidR="006B1197" w:rsidRPr="000666A9">
        <w:rPr>
          <w:rFonts w:cs="Times New Roman"/>
        </w:rPr>
        <w:br/>
        <w:t>o powierzenie grantu i informacją o zabezpieczeniu umowy. Dodatkowo Biuro LGD może listownie poinformować grantobiorcę o zaproszeniu na podpisanie umowy.</w:t>
      </w:r>
    </w:p>
    <w:p w:rsidR="006065A5" w:rsidRPr="000666A9" w:rsidRDefault="000666A9" w:rsidP="000666A9">
      <w:pPr>
        <w:pStyle w:val="Standard"/>
        <w:spacing w:line="360" w:lineRule="auto"/>
        <w:ind w:left="284" w:hanging="284"/>
        <w:jc w:val="both"/>
        <w:rPr>
          <w:rFonts w:cs="Times New Roman"/>
        </w:rPr>
      </w:pPr>
      <w:r w:rsidRPr="000666A9">
        <w:rPr>
          <w:rFonts w:cs="Times New Roman"/>
        </w:rPr>
        <w:t>4</w:t>
      </w:r>
      <w:r w:rsidR="006065A5" w:rsidRPr="000666A9">
        <w:rPr>
          <w:rFonts w:cs="Times New Roman"/>
        </w:rPr>
        <w:t>. W przypadku braku możliwości podpisania umowy przez przedstawicieli grantobiorcy, grantobiorca informuje o tym fakcie LGD. Zostaje ustalony nowy termin podpisania umowy, dogodny dla grantobiorcy, pod rygorem odstąpienia od podpisania umowy. Przedstawiciele grantobiorcy (reprezentacja zgodna z wnioskiem o powierzenie grantu lub notarialnym pełnomocnictwem) osobiście, w Biurze LGD, w obecności pracownika upoważnionego przez LGD dokonują podpisania umowy.</w:t>
      </w:r>
    </w:p>
    <w:p w:rsidR="006065A5" w:rsidRPr="000666A9" w:rsidRDefault="000666A9" w:rsidP="000666A9">
      <w:pPr>
        <w:pStyle w:val="Standard"/>
        <w:spacing w:line="360" w:lineRule="auto"/>
        <w:jc w:val="both"/>
        <w:rPr>
          <w:rFonts w:cs="Times New Roman"/>
        </w:rPr>
      </w:pPr>
      <w:r w:rsidRPr="000666A9">
        <w:rPr>
          <w:rFonts w:cs="Times New Roman"/>
        </w:rPr>
        <w:t>5</w:t>
      </w:r>
      <w:r w:rsidR="006065A5" w:rsidRPr="000666A9">
        <w:rPr>
          <w:rFonts w:cs="Times New Roman"/>
        </w:rPr>
        <w:t>. W przypadku: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 xml:space="preserve">a) odmowy podpisania umowy o powierzenie grantu  </w:t>
      </w:r>
    </w:p>
    <w:p w:rsidR="006065A5" w:rsidRPr="000666A9" w:rsidRDefault="006065A5" w:rsidP="000666A9">
      <w:pPr>
        <w:pStyle w:val="Standard"/>
        <w:spacing w:line="360" w:lineRule="auto"/>
        <w:ind w:left="284" w:hanging="284"/>
        <w:jc w:val="both"/>
        <w:rPr>
          <w:rFonts w:cs="Times New Roman"/>
        </w:rPr>
      </w:pPr>
      <w:r w:rsidRPr="000666A9">
        <w:rPr>
          <w:rFonts w:cs="Times New Roman"/>
        </w:rPr>
        <w:t>b) odstąpienia grantobiorcy od podpisania umowy powierzenia grantu,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c) rozwiązania umowy powierzenia grantu -</w:t>
      </w:r>
    </w:p>
    <w:p w:rsidR="006065A5" w:rsidRPr="000666A9" w:rsidRDefault="006065A5" w:rsidP="000666A9">
      <w:pPr>
        <w:pStyle w:val="Standard"/>
        <w:spacing w:line="360" w:lineRule="auto"/>
        <w:ind w:left="284"/>
        <w:jc w:val="both"/>
        <w:rPr>
          <w:rFonts w:cs="Times New Roman"/>
        </w:rPr>
      </w:pPr>
      <w:r w:rsidRPr="000666A9">
        <w:rPr>
          <w:rFonts w:cs="Times New Roman"/>
        </w:rPr>
        <w:t>do podpisania umowy powierzenia grantu zapraszany jest kolejny wnioskodawca z listy wybranych grantów, który nie został zaproszony do podpisania umowy ze względu na wyczerpanie się puli dostępnych środków (jeśli koszty realizacji jego operacji mieszczą się</w:t>
      </w:r>
      <w:r w:rsidRPr="000666A9">
        <w:rPr>
          <w:rFonts w:cs="Times New Roman"/>
        </w:rPr>
        <w:br/>
        <w:t>w limicie środków przeznaczonych na realizacje operacji w tym naborze). W takim przypad</w:t>
      </w:r>
      <w:r w:rsidR="00740BB0">
        <w:rPr>
          <w:rFonts w:cs="Times New Roman"/>
        </w:rPr>
        <w:t>ku należy zaktualizować Uchwałę – np. w trybie obiegowym.</w:t>
      </w:r>
    </w:p>
    <w:p w:rsidR="006065A5" w:rsidRPr="00740BB0" w:rsidRDefault="006065A5" w:rsidP="00740BB0">
      <w:pPr>
        <w:spacing w:before="0" w:after="0"/>
        <w:rPr>
          <w:rFonts w:ascii="Times New Roman" w:hAnsi="Times New Roman" w:cs="Times New Roman"/>
          <w:b/>
          <w:sz w:val="24"/>
          <w:szCs w:val="24"/>
        </w:rPr>
      </w:pPr>
    </w:p>
    <w:p w:rsidR="00CE35AB" w:rsidRPr="003F7DBE" w:rsidRDefault="00CE35AB" w:rsidP="003F7DBE">
      <w:pPr>
        <w:pStyle w:val="Akapitzlist"/>
        <w:numPr>
          <w:ilvl w:val="0"/>
          <w:numId w:val="35"/>
        </w:numPr>
        <w:spacing w:before="0" w:after="0"/>
        <w:jc w:val="center"/>
        <w:rPr>
          <w:rFonts w:ascii="Times New Roman" w:hAnsi="Times New Roman" w:cs="Times New Roman"/>
          <w:b/>
          <w:sz w:val="24"/>
          <w:szCs w:val="24"/>
        </w:rPr>
      </w:pPr>
      <w:r w:rsidRPr="000666A9">
        <w:rPr>
          <w:rFonts w:ascii="Times New Roman" w:hAnsi="Times New Roman" w:cs="Times New Roman"/>
          <w:b/>
          <w:sz w:val="24"/>
          <w:szCs w:val="24"/>
        </w:rPr>
        <w:t>Zaliczka</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Zaliczka jest udzielana Grantobiorcy w wysokości nie większej i na okres nie dłuższy niż jest to niezbędne dla prawidłowej realizacji projektu objętego grantem. Maksymalna kwota udzielonej zaliczki nie może przekroczyć 80 % grantu.</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Dofinansowanie w formie zaliczki może być przekazane w transzach przed zakończeniem realizacji projektu objętego grantem. Wypłata transz następować będzie zgodnie z harmonogramem płat</w:t>
      </w:r>
      <w:r w:rsidR="003F7DBE">
        <w:rPr>
          <w:rFonts w:ascii="Times New Roman" w:hAnsi="Times New Roman" w:cs="Times New Roman"/>
          <w:sz w:val="24"/>
          <w:szCs w:val="24"/>
        </w:rPr>
        <w:t>ności stanowiącym załącznik</w:t>
      </w:r>
      <w:r w:rsidRPr="000666A9">
        <w:rPr>
          <w:rFonts w:ascii="Times New Roman" w:hAnsi="Times New Roman" w:cs="Times New Roman"/>
          <w:sz w:val="24"/>
          <w:szCs w:val="24"/>
        </w:rPr>
        <w:t xml:space="preserve"> do Umowy.</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lastRenderedPageBreak/>
        <w:t>Pierwsza oraz kolejne transze są przekazywane w wysokości określonej w zatwierdzonym harmonogramie płatności w terminie 14 dni roboczych, po przeprowadzeniu i pozytywnym zakończeniu weryfikacji wniosku o rozliczenie grantu pod względem spełniania warunków określonych w Umowie.</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Pierwsza transza dofinansowania jest przekazywana po wniesieniu przez Grantobiorcę prawidłowo ustanowionego zab</w:t>
      </w:r>
      <w:r w:rsidR="003F7DBE">
        <w:rPr>
          <w:rFonts w:ascii="Times New Roman" w:hAnsi="Times New Roman" w:cs="Times New Roman"/>
          <w:sz w:val="24"/>
          <w:szCs w:val="24"/>
        </w:rPr>
        <w:t>ezpieczenia, o którym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Kwota wnioskowanej transzy musi być uzasadniona faktycznie planowanymi działaniami projektu objętego grantem.</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W przypadku niemożliwości dokonania wypłaty transzy dofinansowania spowodowanej okresowym brakiem środ</w:t>
      </w:r>
      <w:r w:rsidR="003F7DBE">
        <w:rPr>
          <w:rFonts w:ascii="Times New Roman" w:hAnsi="Times New Roman" w:cs="Times New Roman"/>
          <w:sz w:val="24"/>
          <w:szCs w:val="24"/>
        </w:rPr>
        <w:t>ków, o których mowa w Umowie</w:t>
      </w:r>
      <w:r w:rsidRPr="000666A9">
        <w:rPr>
          <w:rFonts w:ascii="Times New Roman" w:hAnsi="Times New Roman" w:cs="Times New Roman"/>
          <w:sz w:val="24"/>
          <w:szCs w:val="24"/>
        </w:rPr>
        <w:t>, Grantobiorca ma prawo renegocjować harmonogram realizacji projektu objętego grantem wskazany we wniosku o dofinansowanie i harmonogram płatn</w:t>
      </w:r>
      <w:r w:rsidR="003F7DBE">
        <w:rPr>
          <w:rFonts w:ascii="Times New Roman" w:hAnsi="Times New Roman" w:cs="Times New Roman"/>
          <w:sz w:val="24"/>
          <w:szCs w:val="24"/>
        </w:rPr>
        <w:t>ości, o którym mowa w Umowie</w:t>
      </w:r>
      <w:r w:rsidRPr="000666A9">
        <w:rPr>
          <w:rFonts w:ascii="Times New Roman" w:hAnsi="Times New Roman" w:cs="Times New Roman"/>
          <w:sz w:val="24"/>
          <w:szCs w:val="24"/>
        </w:rPr>
        <w:t>.</w:t>
      </w:r>
    </w:p>
    <w:p w:rsidR="00CE35AB" w:rsidRPr="000666A9" w:rsidRDefault="00CE35AB" w:rsidP="000666A9">
      <w:pPr>
        <w:spacing w:before="0" w:after="0"/>
        <w:jc w:val="center"/>
        <w:rPr>
          <w:rFonts w:ascii="Times New Roman" w:hAnsi="Times New Roman" w:cs="Times New Roman"/>
          <w:b/>
          <w:sz w:val="24"/>
          <w:szCs w:val="24"/>
        </w:rPr>
      </w:pPr>
    </w:p>
    <w:p w:rsidR="00CE35AB" w:rsidRPr="003F7DBE" w:rsidRDefault="00CE35AB" w:rsidP="003F7DBE">
      <w:pPr>
        <w:pStyle w:val="Akapitzlist"/>
        <w:numPr>
          <w:ilvl w:val="0"/>
          <w:numId w:val="35"/>
        </w:numPr>
        <w:spacing w:before="0" w:after="0"/>
        <w:jc w:val="center"/>
        <w:rPr>
          <w:rFonts w:ascii="Times New Roman" w:hAnsi="Times New Roman" w:cs="Times New Roman"/>
          <w:b/>
          <w:sz w:val="24"/>
          <w:szCs w:val="24"/>
        </w:rPr>
      </w:pPr>
      <w:r w:rsidRPr="003F7DBE">
        <w:rPr>
          <w:rFonts w:ascii="Times New Roman" w:hAnsi="Times New Roman" w:cs="Times New Roman"/>
          <w:b/>
          <w:sz w:val="24"/>
          <w:szCs w:val="24"/>
        </w:rPr>
        <w:t>Rozliczenie płatności</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sporządza i przekazuje do LGD propozycję harmonogramu płatności, który po akceptacji LGD</w:t>
      </w:r>
      <w:r w:rsidR="003F7DBE">
        <w:rPr>
          <w:rFonts w:ascii="Times New Roman" w:hAnsi="Times New Roman" w:cs="Times New Roman"/>
          <w:sz w:val="24"/>
          <w:szCs w:val="24"/>
        </w:rPr>
        <w:t xml:space="preserve"> stanowi załącznik</w:t>
      </w:r>
      <w:r w:rsidRPr="000666A9">
        <w:rPr>
          <w:rFonts w:ascii="Times New Roman" w:hAnsi="Times New Roman" w:cs="Times New Roman"/>
          <w:sz w:val="24"/>
          <w:szCs w:val="24"/>
        </w:rPr>
        <w:t xml:space="preserve"> do Umowy. Harmonogram płatności stanowi integralną część Umowy, a jego aktualizacje przekazywane są zgodnie z ust. 2 oraz 4 i nie wymagają zawarcia aneksu. Aktualizacja harmonogramu płatności wymaga akceptacji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Grantobiorca jest zobowiązany do jej dokonania w terminie wskazanym przez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Wniosek o rozliczenie grantu wraz z wymaganymi załącznikami, w ramach którego Grantobiorca wnioskuje o przekazanie grantu oraz przekazuje informację o postępie realizacji grantu są składane przez Grantobiorcę w wersji papierowej i elektronicznej.</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Warunkiem zatwierdzenia wniosku o rozliczenie grantu i przekazanie Grantobiorcy kolejnej transzy dofinansowania jest:</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przez Grantobiorcę do LGD prawidłowego, kompletnego i spełniającego wymogi formalne i merytoryczne wniosku o rozliczenie grantu,</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oznaczonych datą i potwierdzonych za zgodność z oryginałem przez Grantobiorcę lub osobę upoważnioną do reprezentowania Grantobiorcy kopii dokumentów potwierdzających odbiór urządzeń/sprzętu lub wykonanie prac, jeżeli dokumenty odbioru wymagane są prawem;</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informacji o wszystkich uczestnikach projektu objętego grantem, zgodnie z zakr</w:t>
      </w:r>
      <w:r w:rsidR="008B6EB4">
        <w:rPr>
          <w:rFonts w:ascii="Times New Roman" w:hAnsi="Times New Roman" w:cs="Times New Roman"/>
          <w:sz w:val="24"/>
          <w:szCs w:val="24"/>
        </w:rPr>
        <w:t>esem określonym w załączniku</w:t>
      </w:r>
      <w:r w:rsidRPr="000666A9">
        <w:rPr>
          <w:rFonts w:ascii="Times New Roman" w:hAnsi="Times New Roman" w:cs="Times New Roman"/>
          <w:sz w:val="24"/>
          <w:szCs w:val="24"/>
        </w:rPr>
        <w:t xml:space="preserve"> do Umowy i na warunkach określonych Wytycznych w zakresie monitorowania;</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złożenie dokumen</w:t>
      </w:r>
      <w:r w:rsidR="00091586">
        <w:rPr>
          <w:rFonts w:ascii="Times New Roman" w:hAnsi="Times New Roman" w:cs="Times New Roman"/>
          <w:sz w:val="24"/>
          <w:szCs w:val="24"/>
        </w:rPr>
        <w:t>tów, o których mowa w Umowie</w:t>
      </w:r>
      <w:r w:rsidRPr="000666A9">
        <w:rPr>
          <w:rFonts w:ascii="Times New Roman" w:hAnsi="Times New Roman" w:cs="Times New Roman"/>
          <w:sz w:val="24"/>
          <w:szCs w:val="24"/>
        </w:rPr>
        <w:t>, potwierdzających wykonanie wskaźników i odnoszących się do wniosku o rozliczenie grantu;</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dokonanie przez LGD poświadczenia realizacji projektu objętego grantem;</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dostępność ś</w:t>
      </w:r>
      <w:r w:rsidR="00570E78">
        <w:rPr>
          <w:rFonts w:ascii="Times New Roman" w:hAnsi="Times New Roman" w:cs="Times New Roman"/>
          <w:sz w:val="24"/>
          <w:szCs w:val="24"/>
        </w:rPr>
        <w:t>rodków na rachunku bankowym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Kwalifikowalność poniesionych wydatków oceniana jest w trakcie realizacji projektu objętego grantem, w trakcie kontroli grantu na miejscu, kontroli trwałości oraz innych czynności kontrolnych prowadzonych przez podmioty do tego u</w:t>
      </w:r>
      <w:r w:rsidR="00091586">
        <w:rPr>
          <w:rFonts w:ascii="Times New Roman" w:hAnsi="Times New Roman" w:cs="Times New Roman"/>
          <w:sz w:val="24"/>
          <w:szCs w:val="24"/>
        </w:rPr>
        <w:t>poważnione, o których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po dokonaniu weryfikacji przekazanego przez Grantobiorcę wniosku o rozliczenie grantu i przeprowadzeniu poświadczenia prawidłowości realizacji projektu objętego grantem, zatwierdza wniosek o rozliczenie grantu i przekazuje Grantobiorcy pisemną informację w tym zakresie.</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W przypadku stwierdzenia błędów formalnych, merytorycznych lub rachunkowych w złożonym wniosku o rozliczenie grantu, LGD wzywa Grantobiorcę do poprawienia lub uzupełnienia wniosku, bądź do złożenia dodatkowych wyjaśnień w terminie wyznaczonym przez LGD, jednakże nie krótszym niż 7 dni </w:t>
      </w:r>
      <w:bookmarkStart w:id="1" w:name="_Hlk512601589"/>
      <w:r w:rsidRPr="000666A9">
        <w:rPr>
          <w:rFonts w:ascii="Times New Roman" w:hAnsi="Times New Roman" w:cs="Times New Roman"/>
          <w:sz w:val="24"/>
          <w:szCs w:val="24"/>
        </w:rPr>
        <w:t>kalendarzowych</w:t>
      </w:r>
      <w:bookmarkEnd w:id="1"/>
      <w:r w:rsidRPr="000666A9">
        <w:rPr>
          <w:rFonts w:ascii="Times New Roman" w:hAnsi="Times New Roman" w:cs="Times New Roman"/>
          <w:sz w:val="24"/>
          <w:szCs w:val="24"/>
        </w:rPr>
        <w:t>. Powyższe nie wyklucza możliwości samodzielnego dokonania przez LGD uzupełnienia lub poprawienia wniosku o rozliczenie grantu z zastrzeżeniem ust. 10.</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nie może poprawiać lub uzupełniać informacji o postępach rzeczowych oraz informacji finansowych zawartych we wniosku o rozliczenie grantu i załącznikach do niego, o ile nie dotyczy to oczywistych omyłek pisarskich i rachunkowych.</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składa końcowy wniosek o rozliczenie grantu do LGD, w terminie do 14 dni kalendarzowych od dnia zakończenia realizacji projektu objętego g</w:t>
      </w:r>
      <w:r w:rsidR="00E37859">
        <w:rPr>
          <w:rFonts w:ascii="Times New Roman" w:hAnsi="Times New Roman" w:cs="Times New Roman"/>
          <w:sz w:val="24"/>
          <w:szCs w:val="24"/>
        </w:rPr>
        <w:t>rantem, określonego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Płatność końcowa jest przekazywana na wskazany przez Grantobiorcę rachunek bankowy, o którym mowa w </w:t>
      </w:r>
      <w:r w:rsidR="00E37859">
        <w:rPr>
          <w:rFonts w:ascii="Times New Roman" w:hAnsi="Times New Roman" w:cs="Times New Roman"/>
          <w:sz w:val="24"/>
          <w:szCs w:val="24"/>
        </w:rPr>
        <w:t>Umowie</w:t>
      </w:r>
      <w:r w:rsidRPr="000666A9">
        <w:rPr>
          <w:rFonts w:ascii="Times New Roman" w:hAnsi="Times New Roman" w:cs="Times New Roman"/>
          <w:sz w:val="24"/>
          <w:szCs w:val="24"/>
        </w:rPr>
        <w:t xml:space="preserve"> w terminie nie dłuższym niż 14 dni roboczych, licząc od dnia zatwierdzenia wniosku o rozliczenie grantu, pod warunkiem dostępności środków finansowych na rachunku bankowym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rozlicza projekt objęty grantem na etapie składania końcowego wniosku o rozliczenie grantu.</w:t>
      </w:r>
    </w:p>
    <w:p w:rsidR="00CE35AB" w:rsidRPr="000666A9" w:rsidRDefault="00CE35AB" w:rsidP="000666A9">
      <w:pPr>
        <w:pStyle w:val="Akapitzlist"/>
        <w:numPr>
          <w:ilvl w:val="0"/>
          <w:numId w:val="4"/>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W przypadku niezrealizowania wskaźników lub niespełnienia kryterium wyboru operacji, LGD może uznać całość lub odpowiednią część rozliczonej kwoty uproszczonej w ramach projektu objętego grantem za niekwalifikowaną;</w:t>
      </w:r>
    </w:p>
    <w:p w:rsidR="00CE35AB" w:rsidRPr="000666A9" w:rsidRDefault="00CE35AB" w:rsidP="000666A9">
      <w:pPr>
        <w:pStyle w:val="Akapitzlist"/>
        <w:numPr>
          <w:ilvl w:val="0"/>
          <w:numId w:val="4"/>
        </w:numPr>
        <w:spacing w:before="0" w:after="0"/>
        <w:rPr>
          <w:rFonts w:ascii="Times New Roman" w:hAnsi="Times New Roman" w:cs="Times New Roman"/>
          <w:sz w:val="24"/>
          <w:szCs w:val="24"/>
        </w:rPr>
      </w:pPr>
      <w:r w:rsidRPr="000666A9">
        <w:rPr>
          <w:rFonts w:ascii="Times New Roman" w:hAnsi="Times New Roman" w:cs="Times New Roman"/>
          <w:sz w:val="24"/>
          <w:szCs w:val="24"/>
        </w:rPr>
        <w:t>W przypadku niezrealizowania wskaźników Grantobiorca może również sam zwrócić się do LGD z wnioskiem o proporcjonalne rozliczenie kwoty uproszczonej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przyznanej kwoty uproszczonej za niekwalifikowalną i żądać jej zwrotu.</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zwraca tę część grantu, który dotyczy niekwalifikowalnych wydatków w ramach kwoty uproszczonej, w terminie 30 dni kalendarzowych od dnia zatwierdzenia przez LGD końcowego wniosku o rozliczenie płatności. W przypadku niedokonania zwrotu w ww. ter</w:t>
      </w:r>
      <w:r w:rsidR="00E37859">
        <w:rPr>
          <w:rFonts w:ascii="Times New Roman" w:hAnsi="Times New Roman" w:cs="Times New Roman"/>
          <w:sz w:val="24"/>
          <w:szCs w:val="24"/>
        </w:rPr>
        <w:t>minie, stosuje się przepisy zawarte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Bieg terminu płatności, o którym mowa w ust. 13, może zostać przerwany przez LGD w jednym z następujących przypadków:</w:t>
      </w:r>
    </w:p>
    <w:p w:rsidR="00CE35AB" w:rsidRPr="000666A9" w:rsidRDefault="00CE35AB" w:rsidP="000666A9">
      <w:pPr>
        <w:pStyle w:val="Akapitzlist"/>
        <w:numPr>
          <w:ilvl w:val="0"/>
          <w:numId w:val="5"/>
        </w:numPr>
        <w:spacing w:before="0" w:after="0"/>
        <w:rPr>
          <w:rFonts w:ascii="Times New Roman" w:hAnsi="Times New Roman" w:cs="Times New Roman"/>
          <w:sz w:val="24"/>
          <w:szCs w:val="24"/>
        </w:rPr>
      </w:pPr>
      <w:r w:rsidRPr="000666A9">
        <w:rPr>
          <w:rFonts w:ascii="Times New Roman" w:hAnsi="Times New Roman" w:cs="Times New Roman"/>
          <w:sz w:val="24"/>
          <w:szCs w:val="24"/>
        </w:rPr>
        <w:t>kwota ujęta we wniosku o rozliczenie grantu jest nienależna lub odpowiednie dokumenty potwierdzające realizację projektu objętego grantem nie zostały przedłożone;</w:t>
      </w:r>
    </w:p>
    <w:p w:rsidR="00CE35AB" w:rsidRPr="000666A9" w:rsidRDefault="00CE35AB" w:rsidP="000666A9">
      <w:pPr>
        <w:pStyle w:val="Akapitzlist"/>
        <w:numPr>
          <w:ilvl w:val="0"/>
          <w:numId w:val="5"/>
        </w:numPr>
        <w:spacing w:before="0" w:after="0"/>
        <w:rPr>
          <w:rFonts w:ascii="Times New Roman" w:hAnsi="Times New Roman" w:cs="Times New Roman"/>
          <w:sz w:val="24"/>
          <w:szCs w:val="24"/>
        </w:rPr>
      </w:pPr>
      <w:r w:rsidRPr="000666A9">
        <w:rPr>
          <w:rFonts w:ascii="Times New Roman" w:hAnsi="Times New Roman" w:cs="Times New Roman"/>
          <w:sz w:val="24"/>
          <w:szCs w:val="24"/>
        </w:rPr>
        <w:t>wszczęto dochodzenie w związku z ewentualnymi nieprawidłowościami mającymi wpływ na dane wydatki.</w:t>
      </w:r>
    </w:p>
    <w:p w:rsidR="00CE35AB" w:rsidRPr="000666A9" w:rsidRDefault="00CE35AB" w:rsidP="000666A9">
      <w:pPr>
        <w:spacing w:before="0" w:after="0"/>
        <w:ind w:left="426"/>
        <w:rPr>
          <w:rFonts w:ascii="Times New Roman" w:hAnsi="Times New Roman" w:cs="Times New Roman"/>
          <w:sz w:val="24"/>
          <w:szCs w:val="24"/>
        </w:rPr>
      </w:pPr>
      <w:r w:rsidRPr="000666A9">
        <w:rPr>
          <w:rFonts w:ascii="Times New Roman" w:hAnsi="Times New Roman" w:cs="Times New Roman"/>
          <w:sz w:val="24"/>
          <w:szCs w:val="24"/>
        </w:rPr>
        <w:t>Grantobiorca jest informowany na piśmie o wstrzymaniu i o jego przyczynach.</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braku wystarczających środków na rachunku bankowym LGD, z którego dokonywana jest płatność, grant zostanie wypłacony Grantobiorcy niezwłocznie po wpływie w niezbędnej wysokości środków na rachunek bankowy LGD.</w:t>
      </w:r>
    </w:p>
    <w:p w:rsidR="00CE35AB" w:rsidRPr="000666A9" w:rsidRDefault="00CE35AB" w:rsidP="000666A9">
      <w:pPr>
        <w:spacing w:before="0" w:after="0"/>
        <w:jc w:val="center"/>
        <w:rPr>
          <w:rFonts w:ascii="Times New Roman" w:hAnsi="Times New Roman" w:cs="Times New Roman"/>
          <w:b/>
          <w:sz w:val="24"/>
          <w:szCs w:val="24"/>
        </w:rPr>
      </w:pPr>
    </w:p>
    <w:p w:rsidR="00CE35AB" w:rsidRPr="00E37859" w:rsidRDefault="00CE35AB" w:rsidP="00E37859">
      <w:pPr>
        <w:pStyle w:val="Akapitzlist"/>
        <w:numPr>
          <w:ilvl w:val="0"/>
          <w:numId w:val="35"/>
        </w:numPr>
        <w:spacing w:before="0" w:after="0"/>
        <w:jc w:val="center"/>
        <w:rPr>
          <w:rFonts w:ascii="Times New Roman" w:hAnsi="Times New Roman" w:cs="Times New Roman"/>
          <w:b/>
          <w:sz w:val="24"/>
          <w:szCs w:val="24"/>
        </w:rPr>
      </w:pPr>
      <w:r w:rsidRPr="00E37859">
        <w:rPr>
          <w:rFonts w:ascii="Times New Roman" w:hAnsi="Times New Roman" w:cs="Times New Roman"/>
          <w:b/>
          <w:sz w:val="24"/>
          <w:szCs w:val="24"/>
        </w:rPr>
        <w:t>Zabezpieczenie prawidłowej realizacji Umowy</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w:t>
      </w:r>
      <w:r w:rsidR="00E37859">
        <w:rPr>
          <w:rFonts w:ascii="Times New Roman" w:hAnsi="Times New Roman" w:cs="Times New Roman"/>
          <w:sz w:val="24"/>
          <w:szCs w:val="24"/>
        </w:rPr>
        <w:t>antu, o której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składa zabezpieczenie w formie weksla in blanco wraz z deklaracją wekslową</w:t>
      </w:r>
      <w:r w:rsidRPr="000666A9">
        <w:rPr>
          <w:rStyle w:val="Odwoanieprzypisudolnego"/>
          <w:rFonts w:ascii="Times New Roman" w:hAnsi="Times New Roman" w:cs="Times New Roman"/>
          <w:sz w:val="24"/>
          <w:szCs w:val="24"/>
        </w:rPr>
        <w:footnoteReference w:id="1"/>
      </w:r>
      <w:r w:rsidRPr="000666A9">
        <w:rPr>
          <w:rFonts w:ascii="Times New Roman" w:hAnsi="Times New Roman" w:cs="Times New Roman"/>
          <w:sz w:val="24"/>
          <w:szCs w:val="24"/>
        </w:rPr>
        <w:t>.</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ustanawia dodatkowe zabezpieczenie w następującej formie</w:t>
      </w:r>
      <w:r w:rsidRPr="000666A9">
        <w:rPr>
          <w:rStyle w:val="Odwoanieprzypisudolnego"/>
          <w:rFonts w:ascii="Times New Roman" w:hAnsi="Times New Roman" w:cs="Times New Roman"/>
          <w:sz w:val="24"/>
          <w:szCs w:val="24"/>
        </w:rPr>
        <w:footnoteReference w:id="2"/>
      </w:r>
      <w:r w:rsidRPr="000666A9">
        <w:rPr>
          <w:rFonts w:ascii="Times New Roman" w:hAnsi="Times New Roman" w:cs="Times New Roman"/>
          <w:sz w:val="24"/>
          <w:szCs w:val="24"/>
        </w:rPr>
        <w:t>:</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pieniężnej;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poręczenia bankowego lub poręczenia spółdzielczej kasy oszczędnościowo-kredytowej, z tym że zobowiązanie kasy jest zawsze zobowiązaniem pieniężnym;</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gwarancji bankowej;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gwarancji ubezpieczeniowej;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poręczenia udzielonego przez podmioty, o których mowa w art. 6b ust. 5 pkt 2 ustawy z dnia 9 listopada 2000 r. o utworzeniu Polskiej Agencji Rozwoju Przedsiębiorczości (Dz. U. z 2016 r. poz. 359);</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weksla z poręczeniem wekslowym banku lub spółdzielczej kasy oszczędnościowo-kredytowej;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zastawu na papierach wartościowych emitowanych przez Skarb Państwa lub jednostkę samorządu terytorialnego;</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przewłaszczenia rzeczy ruchomych Beneficjenta na zabezpieczenie;</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hipoteki, w przypadku, gdy Instytucja Zarządzająca RPO WK-P uzna to za konieczne, hipoteka ustanawiana jest wraz z cesją praw z polisy ubezpieczenia nieruchomości będącej przedmiotem hipoteki;</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poręczenia według prawa cywilnego.</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W przypadku prawidłowego wypełnienia przez Grantobiorcę wszelkich zobowiązań określonych w Umowie, LGD zwróci Grantobiorcy ustanowione zabezpieczenie lub dokona jego komisyjnego zniszczenia po upływie okresu, </w:t>
      </w:r>
      <w:r w:rsidRPr="000666A9">
        <w:rPr>
          <w:rFonts w:ascii="Times New Roman" w:hAnsi="Times New Roman" w:cs="Times New Roman"/>
          <w:sz w:val="24"/>
          <w:szCs w:val="24"/>
        </w:rPr>
        <w:br/>
        <w:t>o którym mowa w ust. 7, z zastrzeżeniem ust. 8.</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bookmarkStart w:id="2" w:name="_Hlk512852594"/>
      <w:r w:rsidRPr="000666A9">
        <w:rPr>
          <w:rFonts w:ascii="Times New Roman" w:hAnsi="Times New Roman" w:cs="Times New Roman"/>
          <w:sz w:val="24"/>
          <w:szCs w:val="24"/>
        </w:rPr>
        <w:t>W przypadku, gdy wniosek o dofinansowanie przewiduje trwałość projektu objętego grantem lub jego rezultatów, zwrot dokumentu stanowiącego zabezpieczenie następuje po upływie okresu trwałości.</w:t>
      </w:r>
    </w:p>
    <w:bookmarkEnd w:id="2"/>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W przypadku wszczęcia postępowania windykacyjnego, zwrot zabezpieczenia może nastąpić po zakończeniu postępowania.</w:t>
      </w:r>
    </w:p>
    <w:p w:rsidR="00CE35AB" w:rsidRPr="000666A9" w:rsidRDefault="00CE35AB" w:rsidP="000666A9">
      <w:pPr>
        <w:spacing w:before="0" w:after="0"/>
        <w:jc w:val="center"/>
        <w:rPr>
          <w:rFonts w:ascii="Times New Roman" w:hAnsi="Times New Roman" w:cs="Times New Roman"/>
          <w:b/>
          <w:sz w:val="24"/>
          <w:szCs w:val="24"/>
        </w:rPr>
      </w:pPr>
    </w:p>
    <w:p w:rsidR="00CE35AB" w:rsidRPr="00E37859" w:rsidRDefault="00CE35AB" w:rsidP="00E37859">
      <w:pPr>
        <w:pStyle w:val="Akapitzlist"/>
        <w:numPr>
          <w:ilvl w:val="0"/>
          <w:numId w:val="35"/>
        </w:numPr>
        <w:spacing w:before="0" w:after="0"/>
        <w:jc w:val="center"/>
        <w:rPr>
          <w:rFonts w:ascii="Times New Roman" w:hAnsi="Times New Roman" w:cs="Times New Roman"/>
          <w:b/>
          <w:sz w:val="24"/>
          <w:szCs w:val="24"/>
        </w:rPr>
      </w:pPr>
      <w:r w:rsidRPr="00E37859">
        <w:rPr>
          <w:rFonts w:ascii="Times New Roman" w:hAnsi="Times New Roman" w:cs="Times New Roman"/>
          <w:b/>
          <w:sz w:val="24"/>
          <w:szCs w:val="24"/>
        </w:rPr>
        <w:t>Monitoring i sprawozdawczość</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pomiaru wartości wskaźników osiągniętych dzięki realizacji projektu objętego grantem, zgodnie z wnioskiem o dofinansowanie, w okresie realizacji i trwałości projektu objętego grantem.</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złożenia do LGD wniosku o rozliczenie grantu zawierającego informacje o postępie rzeczowym projektu objętego grantem.</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wykazania i opisania w części wniosku o rozliczenie grantu dotyczącej postępu rzeczowego, które z „działań równościowych” zaplanowanych we wniosku o dofinansowanie zostały zrealizowane oraz w jaki sposób realizacja projektu objętego grantem wpłynęła na sytuacje osób z niepełnosprawnościami, a także do wskazania (o ile będą występować) problemów lub trudności w realizacji zasady równości szans kobiet i mężczyzn.</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systematycznego monitorowania przebiegu realizacji projektu objętego grantem i składania, nie rzadziej niż raz na kwartał, wniosku sprawozdawczego;</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przekazywania LGD wszelkich dokumentów i informacji związanych z realizacją projektu objętego grantem, na wniosek i w terminie wskazanym przez LGD.</w:t>
      </w:r>
    </w:p>
    <w:p w:rsidR="00CE35AB" w:rsidRPr="000666A9" w:rsidRDefault="00CE35AB" w:rsidP="000666A9">
      <w:pPr>
        <w:spacing w:before="0" w:after="0"/>
        <w:jc w:val="center"/>
        <w:rPr>
          <w:rFonts w:ascii="Times New Roman" w:hAnsi="Times New Roman" w:cs="Times New Roman"/>
          <w:b/>
          <w:sz w:val="24"/>
          <w:szCs w:val="24"/>
        </w:rPr>
      </w:pPr>
    </w:p>
    <w:p w:rsidR="00CE35AB" w:rsidRPr="00883A98" w:rsidRDefault="00CE35AB" w:rsidP="00883A98">
      <w:pPr>
        <w:pStyle w:val="Akapitzlist"/>
        <w:numPr>
          <w:ilvl w:val="0"/>
          <w:numId w:val="35"/>
        </w:numPr>
        <w:spacing w:before="0" w:after="0"/>
        <w:jc w:val="center"/>
        <w:rPr>
          <w:rFonts w:ascii="Times New Roman" w:hAnsi="Times New Roman" w:cs="Times New Roman"/>
          <w:b/>
          <w:sz w:val="24"/>
          <w:szCs w:val="24"/>
        </w:rPr>
      </w:pPr>
      <w:bookmarkStart w:id="3" w:name="_Hlk512852618"/>
      <w:r w:rsidRPr="00883A98">
        <w:rPr>
          <w:rFonts w:ascii="Times New Roman" w:hAnsi="Times New Roman" w:cs="Times New Roman"/>
          <w:b/>
          <w:sz w:val="24"/>
          <w:szCs w:val="24"/>
        </w:rPr>
        <w:t>Kontrola i audyt</w:t>
      </w:r>
      <w:bookmarkEnd w:id="3"/>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zakresie prawidłowości realizacji Grantu, Grantobiorca jest zobowiązany poddać się kontroli i audytom dokonywanym przez LGD, Instytucję Zarządzającą RPO WK-P oraz inne podmioty uprawnione do ich przeprowadzenia.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Kontrole oraz audyty mogą być przeprowadzane w każdym czasie od dnia podpisania umowy o dofinansowanie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Kontrole oraz audyty mogą być przeprowadzane w siedzibie/biurze kontrolującego na podstawie dostarczonych dokumentów lub w każdym miejscu bezpośrednio związanym z realizacją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Jeżeli jest to konieczne, do stwierdzenia prawidłowej realizacji projektu objętego grantem, Grantobiorca jest zobowiązany udostępnić podmiotom, o których mowa w ust. 1, również dokumenty niezwiązane bezpośrednio z realizacją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Podmioty uprawnione do przeprowadzania kontroli lub audytu, w celu potwierdzenia prawidłowości i kwalifikowalności poniesionych wydatków, mogą zwrócić się o złożenie wyjaśnień do osób zaangażowanych w realizację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wyniku kontroli wydawane są zalecenia pokontrolne, a Grantobiorca jest zobowiązany do podjęcia stosownych działań naprawczych w terminie określonym w tych zaleceniach.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Ustalenia podmiotów, o których mowa w ust. 1, mogą prowadzić do korekty wysokości grantu w ramach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informowania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kontroli u Grantobiorcy w okresie od dnia rozpoczęcia realizacji projektu do dnia zatwierdzenia przez LGD końcowego wniosku o rozliczenie grantu. Kontrola zostanie zapowiedziana w terminie nie krótszym niż 3 dni robocze od terminu kontroli. Grantobiorca zostanie poinformowany o celu kontroli i jej zakresie.</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kontroli bez zapowiedzi, szczególnie w przypadku, gdy LGD podejmie informację o nieprawidłowościach w realizacji Umowy o dofinansowanie przez Grantobiorcę.</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trakcie kontroli zweryfikowana zostanie przez LGD zgodność realizowanych zadań przez Grantobiorcę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Grantobiorcą a Użytkownikiem, protokoły odbioru.</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Z przeprowadzonej kontroli sporządzona zostanie informacja pokontrolna, której zapisy zostaną przedstawione Grantobiorcy. Informacja pokontrolna musi zostać przedstawiona Grantobiorcy nie później niż do 10 dni roboczych po zakończeniu kontroli przez LGD. Grantobiorca ma możliwość wniesienia zastrzeżeń i uwag do informacji pokontrolnej w terminie do 5 dni roboczych od jego otrzymania.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wskazania przez LGD działań naprawczych, Grantobiorca podejmie się działań naprawczych w terminie do 30 dni od przyjęcia informacji pokontrolnej, a LGD ma obowiązek przeprowadzenia wizyty monitoringowej, której celem będzie zweryfikowanie wywiązania się Grantobiorcy z zaleconych działań naprawczych.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wizyty monitoringowej bez zapowiedzi, w miejscu realizacji zadania celem weryfikacji u Grantobiorcy postępów w realizacji zadania.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zobowiązany jest do cyklicznego (min. raz na miesiąc) przesyłania szczegółowego harmonogramu realizacji wsparcia oferowanego w ramach projektu objętego celem umożliwienia przeprowadzenia przez LGD wizyty monitoringowej w każdym czasie.</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Harmonogram realizacji wsparcia, o którym mowa w ust. 16, składany jest do LGD każdorazowo w terminie do 10-go dnia miesiąca na miesiąc następny, na formularzu stanowiącym załącznik …. do Umowy. Grantobiorca jest zobowiązany do niezwłocznego zaktualizowania harmonogramu realizacji wsparcia każdorazowo, kiedy zajdą w nim zmiany uniemożliwiające przeprowadzenie wizyty monitoringowej. </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Harmonogram realizacji wsparcia składany jest do LGD osobiście, pocztą tradycyjną lub za pośrednictwem poczty elektronicznej. O zachowaniu terminu decyduje data wpływu do LGD. </w:t>
      </w:r>
    </w:p>
    <w:p w:rsidR="00CE35AB" w:rsidRPr="00610658" w:rsidRDefault="00CE35AB" w:rsidP="0061065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 Niewywiązanie się ze zobowiązań, o których mowa w ust. 16-17, traktowane jest jako utrudnianie przeprowadzenia kontroli przez LGD i może skutkować rozwiązaniem umowy o </w:t>
      </w:r>
      <w:r w:rsidR="00A82078">
        <w:rPr>
          <w:rFonts w:ascii="Times New Roman" w:hAnsi="Times New Roman" w:cs="Times New Roman"/>
          <w:sz w:val="24"/>
          <w:szCs w:val="24"/>
        </w:rPr>
        <w:t>powierzenie grantu</w:t>
      </w:r>
      <w:r w:rsidRPr="000666A9">
        <w:rPr>
          <w:rFonts w:ascii="Times New Roman" w:hAnsi="Times New Roman" w:cs="Times New Roman"/>
          <w:sz w:val="24"/>
          <w:szCs w:val="24"/>
        </w:rPr>
        <w:t xml:space="preserve">. </w:t>
      </w:r>
    </w:p>
    <w:p w:rsidR="00CE35AB" w:rsidRPr="000666A9" w:rsidRDefault="00CE35AB" w:rsidP="000666A9">
      <w:pPr>
        <w:spacing w:before="0" w:after="0"/>
        <w:jc w:val="center"/>
        <w:rPr>
          <w:rFonts w:ascii="Times New Roman" w:hAnsi="Times New Roman" w:cs="Times New Roman"/>
          <w:b/>
          <w:sz w:val="24"/>
          <w:szCs w:val="24"/>
        </w:rPr>
      </w:pPr>
    </w:p>
    <w:p w:rsidR="00CE35AB" w:rsidRPr="009D6C03" w:rsidRDefault="009D6C03" w:rsidP="009D6C03">
      <w:pPr>
        <w:pStyle w:val="Akapitzlist"/>
        <w:numPr>
          <w:ilvl w:val="0"/>
          <w:numId w:val="35"/>
        </w:numPr>
        <w:spacing w:before="0" w:after="0"/>
        <w:jc w:val="center"/>
        <w:rPr>
          <w:rFonts w:ascii="Times New Roman" w:hAnsi="Times New Roman" w:cs="Times New Roman"/>
          <w:b/>
          <w:sz w:val="24"/>
          <w:szCs w:val="24"/>
        </w:rPr>
      </w:pPr>
      <w:r>
        <w:rPr>
          <w:rFonts w:ascii="Times New Roman" w:hAnsi="Times New Roman" w:cs="Times New Roman"/>
          <w:b/>
          <w:sz w:val="24"/>
          <w:szCs w:val="24"/>
        </w:rPr>
        <w:t>Aneks do umowy o powierzenie grantu</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realizacji zaakceptowanego przez LGD projektu objętego grantem zgodnie z Umową.</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projekcie objętym grantem dopuszczalne są tylko w wyjątkowych i uzasadnionych przypadkach i wymagają uzyskania akceptacji ze strony LGD.</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Przez zmiany zaakceptowane przez LGD należy rozumieć zmiany zaakceptowane na piśmie podpisanym przez osobę upoważnioną.</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Grantobiorca zgłasza LGD, w formie pisemnej, zmiany dotyczące realizacji projektu objętego grantem przed ich wprowadzeniem, nie później niż na 30 dni przed planowanym zakończeniem realizacji projektu objętego </w:t>
      </w:r>
      <w:r w:rsidR="00610658">
        <w:rPr>
          <w:rFonts w:ascii="Times New Roman" w:hAnsi="Times New Roman" w:cs="Times New Roman"/>
          <w:sz w:val="24"/>
          <w:szCs w:val="24"/>
        </w:rPr>
        <w:t>grantem, określonym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LGD może z własnej inicjatywy zaproponować wprowadzenie zmian do Umowy.</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Umowie nie mogą prowadzić do zwiększenia wysokości</w:t>
      </w:r>
      <w:r w:rsidR="00610658">
        <w:rPr>
          <w:rFonts w:ascii="Times New Roman" w:hAnsi="Times New Roman" w:cs="Times New Roman"/>
          <w:sz w:val="24"/>
          <w:szCs w:val="24"/>
        </w:rPr>
        <w:t xml:space="preserve"> grantu określonego w  Umowie</w:t>
      </w:r>
      <w:r w:rsidRPr="000666A9">
        <w:rPr>
          <w:rFonts w:ascii="Times New Roman" w:hAnsi="Times New Roman" w:cs="Times New Roman"/>
          <w:sz w:val="24"/>
          <w:szCs w:val="24"/>
        </w:rPr>
        <w:t xml:space="preserve"> oraz niedopuszczalne są zmiany, które wpływałyby na zmianę i obniżenie wskaźników.</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Nie jest dopuszczalna zmiana w projekcie objętym grantem, w rezultacie której projekt objęty grantem przestałby spełniać kryteria wyboru warunkujące otrzymanie grantu.</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Umowie, o ile jej zapisy nie stanowią inaczej, wymagają formy pisemnej pod rygorem nieważności.</w:t>
      </w:r>
    </w:p>
    <w:p w:rsidR="00CE35AB" w:rsidRPr="000666A9" w:rsidRDefault="00CE35AB" w:rsidP="00610658">
      <w:pPr>
        <w:spacing w:before="0" w:after="0"/>
        <w:rPr>
          <w:rFonts w:ascii="Times New Roman" w:hAnsi="Times New Roman" w:cs="Times New Roman"/>
          <w:b/>
          <w:sz w:val="24"/>
          <w:szCs w:val="24"/>
        </w:rPr>
      </w:pPr>
    </w:p>
    <w:p w:rsidR="00CE35AB" w:rsidRPr="00610658" w:rsidRDefault="00CE35AB" w:rsidP="00610658">
      <w:pPr>
        <w:pStyle w:val="Akapitzlist"/>
        <w:numPr>
          <w:ilvl w:val="0"/>
          <w:numId w:val="35"/>
        </w:numPr>
        <w:spacing w:before="0" w:after="0"/>
        <w:jc w:val="center"/>
        <w:rPr>
          <w:rFonts w:ascii="Times New Roman" w:hAnsi="Times New Roman" w:cs="Times New Roman"/>
          <w:b/>
          <w:sz w:val="24"/>
          <w:szCs w:val="24"/>
        </w:rPr>
      </w:pPr>
      <w:r w:rsidRPr="00610658">
        <w:rPr>
          <w:rFonts w:ascii="Times New Roman" w:hAnsi="Times New Roman" w:cs="Times New Roman"/>
          <w:b/>
          <w:sz w:val="24"/>
          <w:szCs w:val="24"/>
        </w:rPr>
        <w:t>Zwrot środków</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Jeżeli na podstawie wniosku o rozliczenie grantu lub czynności kontrolnych przeprowadzonych przez uprawnione organy zostanie stwierdzone, że Grantobiorca:</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wykorzystał grant niezgodnie z przeznaczeniem;</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wykorzystał grant z naruszeniem procedur, o których mowa w art. 184 ustawy o finansach publicznych;</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pobrał całość lub część grantu w sposób nienależny, lub w nadmiernej wysokości;</w:t>
      </w:r>
    </w:p>
    <w:p w:rsidR="00CE35AB" w:rsidRPr="00610658" w:rsidRDefault="00CE35AB" w:rsidP="00610658">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nie osiągnął i nie udokumentował założonych wskaźników</w:t>
      </w:r>
      <w:r w:rsidR="00610658">
        <w:rPr>
          <w:rFonts w:ascii="Times New Roman" w:hAnsi="Times New Roman" w:cs="Times New Roman"/>
          <w:sz w:val="24"/>
          <w:szCs w:val="24"/>
        </w:rPr>
        <w:t>.</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sytuacji, o której mowa w ust. 1, LGD wzywa Grantobiorcę do dokonania zwrotu lub pomniejsza o odpowiednią kwotę kolejną transzę grantu dla Grantobiorcy.</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Odsetki, w wysokości jak dla zaległości podatkowych, od środków dofinansowania, o których mowa w ust. 1 są naliczane od dnia przekazania grantu na rachunek bankowy wskazany przez Grantobiorcę, do dnia zwrotu środków.</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zapłaty odsetek, którymi może zostać ewentualnie obciążona LGD w następstwie konieczności zwrotu środków przez Grantobiorcę, o którym mowa w ust. 1.</w:t>
      </w:r>
    </w:p>
    <w:p w:rsidR="00CE35AB" w:rsidRPr="00315BD8" w:rsidRDefault="00CE35AB" w:rsidP="00315BD8">
      <w:pPr>
        <w:pStyle w:val="Akapitzlist"/>
        <w:numPr>
          <w:ilvl w:val="0"/>
          <w:numId w:val="16"/>
        </w:numPr>
        <w:spacing w:before="0" w:after="0"/>
        <w:ind w:left="426" w:hanging="426"/>
        <w:rPr>
          <w:rFonts w:ascii="Times New Roman" w:hAnsi="Times New Roman" w:cs="Times New Roman"/>
          <w:sz w:val="24"/>
          <w:szCs w:val="24"/>
        </w:rPr>
      </w:pPr>
      <w:r w:rsidRPr="00315BD8">
        <w:rPr>
          <w:rFonts w:ascii="Times New Roman" w:hAnsi="Times New Roman" w:cs="Times New Roman"/>
          <w:sz w:val="24"/>
          <w:szCs w:val="24"/>
        </w:rPr>
        <w:t>W przypadku, gdy kwota do odzyskania jest wyższa niż kwota pozostająca do przekazania w ramach kolejnej transzy grantu lub nie jest możliwe dokonanie pomniejszenia, a Grantobiorca nie dokonał zwrotu w terminie 14 dni od dnia doręczenia wezwania, o którym mowa w ust. 2, LGD podejmuje czynności zmierzające do odzyskania należnych środków z wykorzystaniem dostępnych środków prawnych, w szczególności zab</w:t>
      </w:r>
      <w:r w:rsidR="00610658" w:rsidRPr="00315BD8">
        <w:rPr>
          <w:rFonts w:ascii="Times New Roman" w:hAnsi="Times New Roman" w:cs="Times New Roman"/>
          <w:sz w:val="24"/>
          <w:szCs w:val="24"/>
        </w:rPr>
        <w:t>ezpieczenia, o którym mowa w Umowie</w:t>
      </w:r>
      <w:r w:rsidRPr="00315BD8">
        <w:rPr>
          <w:rFonts w:ascii="Times New Roman" w:hAnsi="Times New Roman" w:cs="Times New Roman"/>
          <w:sz w:val="24"/>
          <w:szCs w:val="24"/>
        </w:rPr>
        <w:t xml:space="preserve"> oraz na zasadach określonych w przepisach o postępowaniu windykacyjnym. Koszty czynności zmierzających do odzyskania środków, o których mowa w ust. 1, w całości obciążają Grantobiorcę.</w:t>
      </w:r>
    </w:p>
    <w:p w:rsidR="007F049B" w:rsidRPr="000666A9" w:rsidRDefault="007F049B" w:rsidP="000666A9">
      <w:pPr>
        <w:rPr>
          <w:rFonts w:ascii="Times New Roman" w:hAnsi="Times New Roman" w:cs="Times New Roman"/>
          <w:sz w:val="24"/>
          <w:szCs w:val="24"/>
        </w:rPr>
      </w:pPr>
    </w:p>
    <w:sectPr w:rsidR="007F049B" w:rsidRPr="000666A9" w:rsidSect="000666A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7D" w:rsidRDefault="00DD047D" w:rsidP="00CE35AB">
      <w:pPr>
        <w:spacing w:before="0" w:after="0" w:line="240" w:lineRule="auto"/>
      </w:pPr>
      <w:r>
        <w:separator/>
      </w:r>
    </w:p>
  </w:endnote>
  <w:endnote w:type="continuationSeparator" w:id="0">
    <w:p w:rsidR="00DD047D" w:rsidRDefault="00DD047D" w:rsidP="00CE3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7D" w:rsidRDefault="00DD047D" w:rsidP="00CE35AB">
      <w:pPr>
        <w:spacing w:before="0" w:after="0" w:line="240" w:lineRule="auto"/>
      </w:pPr>
      <w:r>
        <w:separator/>
      </w:r>
    </w:p>
  </w:footnote>
  <w:footnote w:type="continuationSeparator" w:id="0">
    <w:p w:rsidR="00DD047D" w:rsidRDefault="00DD047D" w:rsidP="00CE35AB">
      <w:pPr>
        <w:spacing w:before="0" w:after="0" w:line="240" w:lineRule="auto"/>
      </w:pPr>
      <w:r>
        <w:continuationSeparator/>
      </w:r>
    </w:p>
  </w:footnote>
  <w:footnote w:id="1">
    <w:p w:rsidR="00CE35AB" w:rsidRDefault="00CE35AB" w:rsidP="00CE35AB">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2">
    <w:p w:rsidR="00CE35AB" w:rsidRPr="00581779" w:rsidRDefault="00CE35AB" w:rsidP="00CE35AB">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Pr>
          <w:rFonts w:ascii="Bookman Old Style" w:hAnsi="Bookman Old Style"/>
          <w:sz w:val="16"/>
          <w:szCs w:val="16"/>
        </w:rPr>
        <w:t xml:space="preserve"> </w:t>
      </w:r>
      <w:r w:rsidRPr="00581779">
        <w:rPr>
          <w:rFonts w:ascii="Bookman Old Style" w:hAnsi="Bookman Old Style"/>
          <w:sz w:val="16"/>
          <w:szCs w:val="16"/>
        </w:rPr>
        <w:t>Grantobiorca proponuje określoną formę dodatkowego zabezpieczenia. Decyzję o dodatkowym zabezpieczeniu podejmuje ostatecznie LGD.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66A25"/>
    <w:multiLevelType w:val="hybridMultilevel"/>
    <w:tmpl w:val="06C6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E6D7E"/>
    <w:multiLevelType w:val="hybridMultilevel"/>
    <w:tmpl w:val="10B2F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2"/>
  </w:num>
  <w:num w:numId="3">
    <w:abstractNumId w:val="2"/>
  </w:num>
  <w:num w:numId="4">
    <w:abstractNumId w:val="23"/>
  </w:num>
  <w:num w:numId="5">
    <w:abstractNumId w:val="10"/>
  </w:num>
  <w:num w:numId="6">
    <w:abstractNumId w:val="33"/>
  </w:num>
  <w:num w:numId="7">
    <w:abstractNumId w:val="26"/>
  </w:num>
  <w:num w:numId="8">
    <w:abstractNumId w:val="16"/>
  </w:num>
  <w:num w:numId="9">
    <w:abstractNumId w:val="4"/>
  </w:num>
  <w:num w:numId="10">
    <w:abstractNumId w:val="1"/>
  </w:num>
  <w:num w:numId="11">
    <w:abstractNumId w:val="13"/>
  </w:num>
  <w:num w:numId="12">
    <w:abstractNumId w:val="9"/>
  </w:num>
  <w:num w:numId="13">
    <w:abstractNumId w:val="7"/>
  </w:num>
  <w:num w:numId="14">
    <w:abstractNumId w:val="34"/>
  </w:num>
  <w:num w:numId="15">
    <w:abstractNumId w:val="29"/>
  </w:num>
  <w:num w:numId="16">
    <w:abstractNumId w:val="24"/>
  </w:num>
  <w:num w:numId="17">
    <w:abstractNumId w:val="35"/>
  </w:num>
  <w:num w:numId="18">
    <w:abstractNumId w:val="6"/>
  </w:num>
  <w:num w:numId="19">
    <w:abstractNumId w:val="28"/>
  </w:num>
  <w:num w:numId="20">
    <w:abstractNumId w:val="3"/>
  </w:num>
  <w:num w:numId="21">
    <w:abstractNumId w:val="14"/>
  </w:num>
  <w:num w:numId="22">
    <w:abstractNumId w:val="31"/>
  </w:num>
  <w:num w:numId="23">
    <w:abstractNumId w:val="12"/>
  </w:num>
  <w:num w:numId="24">
    <w:abstractNumId w:val="22"/>
  </w:num>
  <w:num w:numId="25">
    <w:abstractNumId w:val="19"/>
  </w:num>
  <w:num w:numId="26">
    <w:abstractNumId w:val="0"/>
  </w:num>
  <w:num w:numId="27">
    <w:abstractNumId w:val="11"/>
  </w:num>
  <w:num w:numId="28">
    <w:abstractNumId w:val="27"/>
  </w:num>
  <w:num w:numId="29">
    <w:abstractNumId w:val="30"/>
  </w:num>
  <w:num w:numId="30">
    <w:abstractNumId w:val="21"/>
  </w:num>
  <w:num w:numId="31">
    <w:abstractNumId w:val="18"/>
  </w:num>
  <w:num w:numId="32">
    <w:abstractNumId w:val="8"/>
  </w:num>
  <w:num w:numId="33">
    <w:abstractNumId w:val="5"/>
  </w:num>
  <w:num w:numId="34">
    <w:abstractNumId w:val="25"/>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AB"/>
    <w:rsid w:val="000160B7"/>
    <w:rsid w:val="000666A9"/>
    <w:rsid w:val="00091586"/>
    <w:rsid w:val="002761C3"/>
    <w:rsid w:val="00315BD8"/>
    <w:rsid w:val="003766CF"/>
    <w:rsid w:val="003F7DBE"/>
    <w:rsid w:val="004A55D6"/>
    <w:rsid w:val="00570E78"/>
    <w:rsid w:val="005B5830"/>
    <w:rsid w:val="006065A5"/>
    <w:rsid w:val="00610658"/>
    <w:rsid w:val="006B1197"/>
    <w:rsid w:val="00740BB0"/>
    <w:rsid w:val="007E6825"/>
    <w:rsid w:val="007F049B"/>
    <w:rsid w:val="00804433"/>
    <w:rsid w:val="00883A98"/>
    <w:rsid w:val="008B6EB4"/>
    <w:rsid w:val="009D6C03"/>
    <w:rsid w:val="00A82078"/>
    <w:rsid w:val="00B848A1"/>
    <w:rsid w:val="00CE35AB"/>
    <w:rsid w:val="00DD047D"/>
    <w:rsid w:val="00E3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7C95"/>
  <w15:chartTrackingRefBased/>
  <w15:docId w15:val="{AB26C2A7-7796-4481-AF6C-1374F23B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5AB"/>
    <w:pPr>
      <w:spacing w:before="240"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E35AB"/>
    <w:pPr>
      <w:ind w:left="720"/>
      <w:contextualSpacing/>
    </w:pPr>
  </w:style>
  <w:style w:type="character" w:customStyle="1" w:styleId="AkapitzlistZnak">
    <w:name w:val="Akapit z listą Znak"/>
    <w:link w:val="Akapitzlist"/>
    <w:qFormat/>
    <w:locked/>
    <w:rsid w:val="00CE35AB"/>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CE35AB"/>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CE35AB"/>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CE35AB"/>
    <w:rPr>
      <w:vertAlign w:val="superscript"/>
    </w:rPr>
  </w:style>
  <w:style w:type="paragraph" w:customStyle="1" w:styleId="Standard">
    <w:name w:val="Standard"/>
    <w:rsid w:val="006065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3207</Words>
  <Characters>19248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biuropodgrodzietorunskie@outlook.com</dc:creator>
  <cp:keywords/>
  <dc:description/>
  <cp:lastModifiedBy>biuropodgrodzietorunskie@outlook.com</cp:lastModifiedBy>
  <cp:revision>5</cp:revision>
  <dcterms:created xsi:type="dcterms:W3CDTF">2019-11-06T07:03:00Z</dcterms:created>
  <dcterms:modified xsi:type="dcterms:W3CDTF">2019-11-12T10:05:00Z</dcterms:modified>
</cp:coreProperties>
</file>